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36"/>
          <w:vertAlign w:val="baseline"/>
          <w:lang w:val="en-US" w:eastAsia="zh-CN"/>
        </w:rPr>
      </w:pPr>
      <w:r>
        <w:rPr>
          <w:rFonts w:hint="eastAsia" w:ascii="仿宋" w:hAnsi="仿宋" w:eastAsia="仿宋" w:cs="仿宋"/>
          <w:sz w:val="28"/>
          <w:szCs w:val="36"/>
          <w:vertAlign w:val="baseline"/>
          <w:lang w:val="en-US" w:eastAsia="zh-CN"/>
        </w:rPr>
        <w:t>附件2：</w:t>
      </w:r>
    </w:p>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重点整理整顿团支部信息台账</w:t>
      </w:r>
    </w:p>
    <w:p>
      <w:pPr>
        <w:jc w:val="both"/>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团总支（盖章）：      团总支负责人（签字）：             填报人：            联系电话：</w:t>
      </w:r>
    </w:p>
    <w:tbl>
      <w:tblPr>
        <w:tblStyle w:val="3"/>
        <w:tblW w:w="13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514"/>
        <w:gridCol w:w="1700"/>
        <w:gridCol w:w="1600"/>
        <w:gridCol w:w="520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32"/>
                <w:vertAlign w:val="baseline"/>
                <w:lang w:eastAsia="zh-CN"/>
              </w:rPr>
              <w:t>序号</w:t>
            </w:r>
          </w:p>
        </w:tc>
        <w:tc>
          <w:tcPr>
            <w:tcW w:w="2514" w:type="dxa"/>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32"/>
                <w:vertAlign w:val="baseline"/>
                <w:lang w:eastAsia="zh-CN"/>
              </w:rPr>
              <w:t>重点整顿团支部名称</w:t>
            </w:r>
          </w:p>
        </w:tc>
        <w:tc>
          <w:tcPr>
            <w:tcW w:w="1700" w:type="dxa"/>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32"/>
                <w:vertAlign w:val="baseline"/>
                <w:lang w:eastAsia="zh-CN"/>
              </w:rPr>
              <w:t>团支部负责人</w:t>
            </w:r>
          </w:p>
        </w:tc>
        <w:tc>
          <w:tcPr>
            <w:tcW w:w="1600" w:type="dxa"/>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32"/>
                <w:vertAlign w:val="baseline"/>
                <w:lang w:eastAsia="zh-CN"/>
              </w:rPr>
              <w:t>整顿督导人</w:t>
            </w:r>
          </w:p>
        </w:tc>
        <w:tc>
          <w:tcPr>
            <w:tcW w:w="5200" w:type="dxa"/>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32"/>
                <w:vertAlign w:val="baseline"/>
                <w:lang w:eastAsia="zh-CN"/>
              </w:rPr>
              <w:t>整顿发现问题</w:t>
            </w:r>
          </w:p>
        </w:tc>
        <w:tc>
          <w:tcPr>
            <w:tcW w:w="2186" w:type="dxa"/>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32"/>
                <w:vertAlign w:val="baseline"/>
                <w:lang w:eastAsia="zh-CN"/>
              </w:rPr>
              <w:t>预计完成整顿日期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8" w:type="dxa"/>
            <w:vAlign w:val="center"/>
          </w:tcPr>
          <w:p>
            <w:pPr>
              <w:jc w:val="center"/>
              <w:rPr>
                <w:rFonts w:hint="default" w:ascii="仿宋" w:hAnsi="仿宋" w:eastAsia="仿宋" w:cs="仿宋"/>
                <w:sz w:val="24"/>
                <w:szCs w:val="24"/>
                <w:vertAlign w:val="baseline"/>
                <w:lang w:val="en-US" w:eastAsia="zh-CN"/>
              </w:rPr>
            </w:pPr>
          </w:p>
        </w:tc>
        <w:tc>
          <w:tcPr>
            <w:tcW w:w="2514" w:type="dxa"/>
            <w:vAlign w:val="center"/>
          </w:tcPr>
          <w:p>
            <w:pPr>
              <w:jc w:val="center"/>
              <w:rPr>
                <w:rFonts w:hint="default" w:ascii="仿宋" w:hAnsi="仿宋" w:eastAsia="仿宋" w:cs="仿宋"/>
                <w:sz w:val="24"/>
                <w:szCs w:val="24"/>
                <w:vertAlign w:val="baseline"/>
                <w:lang w:val="en-US" w:eastAsia="zh-CN"/>
              </w:rPr>
            </w:pPr>
          </w:p>
        </w:tc>
        <w:tc>
          <w:tcPr>
            <w:tcW w:w="1700" w:type="dxa"/>
            <w:vAlign w:val="center"/>
          </w:tcPr>
          <w:p>
            <w:pPr>
              <w:jc w:val="center"/>
              <w:rPr>
                <w:rFonts w:hint="default" w:ascii="仿宋" w:hAnsi="仿宋" w:eastAsia="仿宋" w:cs="仿宋"/>
                <w:sz w:val="24"/>
                <w:szCs w:val="24"/>
                <w:vertAlign w:val="baseline"/>
                <w:lang w:val="en-US" w:eastAsia="zh-CN"/>
              </w:rPr>
            </w:pPr>
          </w:p>
        </w:tc>
        <w:tc>
          <w:tcPr>
            <w:tcW w:w="1600" w:type="dxa"/>
            <w:vAlign w:val="center"/>
          </w:tcPr>
          <w:p>
            <w:pPr>
              <w:jc w:val="center"/>
              <w:rPr>
                <w:rFonts w:hint="default" w:ascii="仿宋" w:hAnsi="仿宋" w:eastAsia="仿宋" w:cs="仿宋"/>
                <w:sz w:val="24"/>
                <w:szCs w:val="24"/>
                <w:vertAlign w:val="baseline"/>
                <w:lang w:val="en-US" w:eastAsia="zh-CN"/>
              </w:rPr>
            </w:pPr>
          </w:p>
        </w:tc>
        <w:tc>
          <w:tcPr>
            <w:tcW w:w="5200" w:type="dxa"/>
            <w:vAlign w:val="center"/>
          </w:tcPr>
          <w:p>
            <w:pPr>
              <w:jc w:val="center"/>
              <w:rPr>
                <w:rFonts w:hint="default" w:ascii="仿宋" w:hAnsi="仿宋" w:eastAsia="仿宋" w:cs="仿宋"/>
                <w:sz w:val="24"/>
                <w:szCs w:val="24"/>
                <w:vertAlign w:val="baseline"/>
                <w:lang w:val="en-US" w:eastAsia="zh-CN"/>
              </w:rPr>
            </w:pPr>
          </w:p>
        </w:tc>
        <w:tc>
          <w:tcPr>
            <w:tcW w:w="2186" w:type="dxa"/>
            <w:vAlign w:val="center"/>
          </w:tcPr>
          <w:p>
            <w:pPr>
              <w:jc w:val="center"/>
              <w:rPr>
                <w:rFonts w:hint="default" w:ascii="仿宋" w:hAnsi="仿宋" w:eastAsia="仿宋" w:cs="仿宋"/>
                <w:sz w:val="24"/>
                <w:szCs w:val="24"/>
                <w:vertAlign w:val="baseline"/>
                <w:lang w:val="en-US" w:eastAsia="zh-CN"/>
              </w:rPr>
            </w:pPr>
          </w:p>
        </w:tc>
      </w:tr>
    </w:tbl>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备注：各学院团总支在确定后进团支部后制定重点整理整顿团支部信息台账，明确整顿督导人，扎实开展组织整顿，做到完成一家，销号一家，并将完成整理整顿的团支部及时报送至团委备案。</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C24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dc:creator>
  <cp:lastModifiedBy>转身已陌路、</cp:lastModifiedBy>
  <dcterms:modified xsi:type="dcterms:W3CDTF">2019-10-22T03:17:07Z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